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/>
          <w:b w:val="0"/>
          <w:bCs w:val="0"/>
          <w:sz w:val="32"/>
          <w:szCs w:val="32"/>
        </w:rPr>
      </w:pPr>
    </w:p>
    <w:p>
      <w:pPr>
        <w:jc w:val="center"/>
        <w:rPr>
          <w:rFonts w:ascii="Times New Roman" w:hAnsi="Times New Roman" w:eastAsia="方正黑体_GBK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露天矿山边坡监测系统建设及预警响应要求</w:t>
      </w:r>
    </w:p>
    <w:p>
      <w:pPr>
        <w:rPr>
          <w:rFonts w:ascii="Times New Roman" w:hAnsi="Times New Roman" w:eastAsia="方正黑体_GBK"/>
          <w:b w:val="0"/>
          <w:bCs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本要求所指边坡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为：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露天矿山采场及排土场边坡。</w:t>
      </w:r>
    </w:p>
    <w:p>
      <w:pPr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一、总体要求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露天矿山边坡监测系统建设应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当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按照本《通知》要求，并遵照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《煤炭工业露天矿边坡工程监测规范》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GB 51214-2017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《露天煤矿边坡变形监测技术规范》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GB/T 37697-2019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《露天矿边坡稳定性分析及岩移监测方法》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MT/T 1183-2020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《非煤露天矿边坡工程技术规范》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GB 51016-2014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《金属非金属露天矿山高陡边坡安全监测技术规范》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AQ/T 2063-2018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等现行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标准规范和各级矿山安全监管监察部门要求，结合矿山实际开展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建设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。</w:t>
      </w:r>
    </w:p>
    <w:p>
      <w:pPr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矿端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建设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楷体_GBK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（一）监测范围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  <w:lang w:eastAsia="zh-CN"/>
        </w:rPr>
        <w:t>。</w:t>
      </w:r>
    </w:p>
    <w:p>
      <w:pPr>
        <w:pStyle w:val="2"/>
        <w:spacing w:after="0" w:line="600" w:lineRule="exact"/>
        <w:ind w:firstLine="640" w:firstLineChars="200"/>
        <w:rPr>
          <w:rFonts w:hint="eastAsia"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1.所有正常生产建设的露天煤矿采场和排土场边坡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。</w:t>
      </w:r>
    </w:p>
    <w:p>
      <w:pPr>
        <w:pStyle w:val="2"/>
        <w:spacing w:after="0" w:line="600" w:lineRule="exact"/>
        <w:ind w:firstLine="640" w:firstLineChars="200"/>
        <w:rPr>
          <w:rFonts w:hint="eastAsia"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2.所有正常生产建设的现状高度150米及以上的金属非金属露天矿山采场边坡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。</w:t>
      </w:r>
    </w:p>
    <w:p>
      <w:pPr>
        <w:pStyle w:val="2"/>
        <w:spacing w:after="0"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3.所有现状堆置高度150米及以上的金属非金属露天矿山在用排土场的边坡。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楷体_GBK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（二）监测项目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</w:rPr>
        <w:t>1.必须监测项目：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边坡表面变形、边坡视频图像。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</w:rPr>
        <w:t>2.其他监测项目：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根据露天矿山实际情况，按照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现行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标准规范开展内部变形、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</w:rPr>
        <w:t>应力、爆破振动、降雨量、地下水、地表水等项目监测。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楷体_GBK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（三）监测布点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</w:rPr>
        <w:t>1.边坡表面变形监测。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推荐使用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地基干涉雷达（以下简称：边坡雷达）、全球导航卫星系统（以下简称：GNSS）一种或两种方式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对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边坡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进行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监测。其中，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对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未靠帮（未终了）边坡和GNSS安装施工存在安全隐患的边坡，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建议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使用边坡雷达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进行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监测。</w:t>
      </w:r>
    </w:p>
    <w:p>
      <w:pPr>
        <w:pStyle w:val="2"/>
        <w:spacing w:after="0" w:line="600" w:lineRule="exact"/>
        <w:ind w:firstLine="640" w:firstLineChars="200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</w:rPr>
        <w:t>（1）边坡雷达。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单台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边坡雷达安装位置要与观测目标保持通视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，距离目标边坡的最远距离不大于4000米、水平监测范围覆盖角度不大于120度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，并远离电磁干扰区和雷击区，避开震动干扰及地表沉陷区域，确保雷达监测点地基稳定。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</w:rPr>
        <w:t>（2）GNSS。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边坡监测点应严格按照《煤炭工业露天矿边坡工程监测规范》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GB 51214-2017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）和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《金属非金属露天矿山高陡边坡安全监测技术规范》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AQ/T 2063-2018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中相关条款要求布设；坡顶应设监测点，安装位置距离坡顶线不大于30米；年度边坡稳定性评价报告中鉴定为不稳定的边坡，监测线间距不大于100米，测点垂直距离不大于50米。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</w:rPr>
        <w:t>2.边坡视频图像监测。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监测范围应覆盖边坡全部区域，使用高清摄像头，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单台摄像头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覆盖半径不超过2000米。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</w:rPr>
        <w:t>3.其他监测。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按照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现行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标准规范执行。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楷体_GBK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（四）监测设备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</w:rPr>
        <w:t>1.边坡雷达应满足：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监测精度优于1毫米；距离向分辨率不大于0.5米，方位向分辨率不大于10毫弧度；设备年度在线率不低于90%。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</w:rPr>
        <w:t>2.GNSS应满足：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支持北斗等；平面静态解算精度优于（2.5+1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×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10</w:t>
      </w:r>
      <w:r>
        <w:rPr>
          <w:rFonts w:ascii="Times New Roman" w:hAnsi="Times New Roman" w:eastAsia="方正仿宋_GBK"/>
          <w:b w:val="0"/>
          <w:bCs w:val="0"/>
          <w:sz w:val="32"/>
          <w:szCs w:val="32"/>
          <w:vertAlign w:val="superscript"/>
        </w:rPr>
        <w:t>-6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D）毫米，高程静态解算精度优于（5.0+1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×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10</w:t>
      </w:r>
      <w:r>
        <w:rPr>
          <w:rFonts w:ascii="Times New Roman" w:hAnsi="Times New Roman" w:eastAsia="方正仿宋_GBK"/>
          <w:b w:val="0"/>
          <w:bCs w:val="0"/>
          <w:sz w:val="32"/>
          <w:szCs w:val="32"/>
          <w:vertAlign w:val="superscript"/>
        </w:rPr>
        <w:t>-6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D）毫米，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其中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D为所测量的基线长度；设备年度综合在线率不低于90%。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</w:rPr>
        <w:t>3.高清摄像头应满足：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具备后期加装AI智能视频识别的条件，图像分辨率优于400万像素；图像及视频参数不小于1/2.7"靶面尺寸，低照度彩色不大于0.005勒克斯，黑白不大于0.0025勒克斯，具备可见光或红外补光功能；视频监控系统的数据保存时间不得少于30天；设备年度综合在线率不低于90%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</w:rPr>
        <w:t>4.其他监测设备：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按照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现行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标准规范要求，可选用自动式全站仪、裂缝计、倾斜计、应力计、爆破振动仪、水位计、雨量计等设备进行监测。</w:t>
      </w:r>
    </w:p>
    <w:p>
      <w:pPr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三、预警及响应</w:t>
      </w:r>
    </w:p>
    <w:p>
      <w:pPr>
        <w:adjustRightInd/>
        <w:snapToGrid/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default" w:eastAsia="方正楷体_GBK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eastAsia="方正楷体_GBK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default" w:eastAsia="方正楷体_GBK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/>
          <w:b w:val="0"/>
          <w:bCs w:val="0"/>
          <w:color w:val="auto"/>
          <w:sz w:val="32"/>
          <w:szCs w:val="32"/>
        </w:rPr>
        <w:t>预警值设置。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露天矿山企业是边坡监测预警值设置的责任主体，企业不具备能力的，要委托专业机构进行预警服务。预警值应结合年度边坡稳定性分析报告设置，并根据实际情况动态更新，至少每半年核定一次。年度边坡稳定性分析报告应设立专章分析近一年的边坡监测情况，并提出下一年度预警值设置建议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default" w:eastAsia="方正楷体_GBK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eastAsia="方正楷体_GBK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eastAsia="方正楷体_GBK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/>
          <w:b w:val="0"/>
          <w:bCs w:val="0"/>
          <w:color w:val="auto"/>
          <w:sz w:val="32"/>
          <w:szCs w:val="32"/>
        </w:rPr>
        <w:t>预警等级设定。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预警等级应分为四级，分别用红、橙、黄、蓝标示。短时间内滑坡可能性非常大，极易造成人员伤亡的应定为一级红色预警；短时间内滑坡可能性大，容易造成人员伤亡的应定为二级橙色预警；滑坡可能性较大，可能造成人员伤亡的应定为三级黄色预警；有滑坡可能性且影响正常生产的应定为四级蓝色预警。</w:t>
      </w:r>
    </w:p>
    <w:p>
      <w:pPr>
        <w:spacing w:line="600" w:lineRule="exact"/>
        <w:ind w:firstLine="640" w:firstLineChars="200"/>
        <w:rPr>
          <w:b w:val="0"/>
          <w:bCs w:val="0"/>
          <w:sz w:val="32"/>
          <w:szCs w:val="32"/>
        </w:rPr>
      </w:pPr>
      <w:r>
        <w:rPr>
          <w:rFonts w:hint="default" w:eastAsia="方正楷体_GBK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eastAsia="方正楷体_GBK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eastAsia="方正楷体_GBK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/>
          <w:b w:val="0"/>
          <w:bCs w:val="0"/>
          <w:color w:val="auto"/>
          <w:sz w:val="32"/>
          <w:szCs w:val="32"/>
        </w:rPr>
        <w:t>预警响应处置。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露天矿山企业是预警响应的责任主体，应建立边坡监测预警分级响应处置机制，并纳入应急预案，第一时间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进行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核实、处理、整改。预警及响应处置情况要形成信息台账，</w:t>
      </w:r>
      <w:r>
        <w:rPr>
          <w:rFonts w:ascii="Times New Roman" w:hAnsi="Times New Roman" w:eastAsia="方正仿宋_GBK"/>
          <w:b w:val="0"/>
          <w:bCs w:val="0"/>
          <w:sz w:val="32"/>
          <w:szCs w:val="32"/>
          <w:lang w:bidi="ar"/>
        </w:rPr>
        <w:t>实现预警信息有效、及时处置和闭环管理。</w:t>
      </w:r>
    </w:p>
    <w:p>
      <w:pPr>
        <w:rPr>
          <w:szCs w:val="22"/>
        </w:rPr>
      </w:pPr>
    </w:p>
    <w:p/>
    <w:sectPr>
      <w:footerReference r:id="rId3" w:type="default"/>
      <w:pgSz w:w="11906" w:h="16838"/>
      <w:pgMar w:top="1440" w:right="17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F562F3-D58D-4EAC-9258-429DBE5816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21BAD0-233D-448A-B6E7-E921E069FA0D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5460A29-0D9F-4530-96CB-B693152F0BFD}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64EA9F0-75FF-4FCD-AAFB-72F0A8401B7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9A07CAA"/>
    <w:rsid w:val="EFDFB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　  懿</cp:lastModifiedBy>
  <dcterms:modified xsi:type="dcterms:W3CDTF">2023-09-14T00:53:05Z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E16C1E0201AC4F1AB8576B2B1FF98F13_13</vt:lpwstr>
  </property>
</Properties>
</file>